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20 21 vom 25. September 2023</w:t>
      </w:r>
    </w:p>
    <w:p>
      <w:r>
        <w:t>VS Kantonsgericht, 2023-09-25, FR</w:t>
      </w:r>
    </w:p>
    <w:p>
      <w:r>
        <w:rPr>
          <w:b/>
        </w:rPr>
        <w:t xml:space="preserve">Quelle: </w:t>
      </w:r>
      <w:r>
        <w:t>https://mcp.opencaselaw.ch/entscheid/vs_gerichte_S1 20 21</w:t>
      </w:r>
    </w:p>
    <w:p>
      <w:r>
        <w:t>FR: VS_GERICHTE S1 20 21 du 25 septembre 2023</w:t>
      </w:r>
    </w:p>
    <w:p>
      <w:r>
        <w:t>IT: VS_GERICHTE S1 20 21 del 25 settembre 2023</w:t>
      </w:r>
    </w:p>
    <w:p>
      <w:pPr>
        <w:pStyle w:val="Heading2"/>
      </w:pPr>
      <w:r>
        <w:t>Regeste</w:t>
      </w:r>
    </w:p>
    <w:p>
      <w:r>
        <w:t>S1 20 21 ARRÊT DU 25 SEPTEMBRE 2023 Tribunal cantonal du Valais Cour des assurances sociales Composition : Candido Prada, président ; Jean-Bernard Fournier et Christophe Joris, juges ; Pierre-André Moix, greffier en la cause X _________, recourante, représentée par le Centre médico-social subrégional de Martigny, 1920 Martigny contre OFFICE CANTONAL AI DU VALAIS, intimé (rente d’invalidité et mesures d’ordre professionnel)</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w:t>
      </w:r>
    </w:p>
    <w:p>
      <w:r>
        <w:t>- 9 - Daté du 12 décembre 2019 et reçu par l’OAI le 20 décembre 2019 (pièce OAI 47), le présent recours contre la décision du 11 décembre 2019 a été interjeté dans le délai légal de trente jours (art. 60 LPGA), devant l'instance compétente (art. 56 et 57 ; art. 69 al. 1 LAI ; art. 81a al. 1 LPJA). Il répond par ailleurs aux autres conditions formelles de recevabilité (art. 61 let. b LPGA), de sorte que la Cour doit entrer en matière.</w:t>
      </w:r>
    </w:p>
    <w:p>
      <w:r>
        <w:rPr>
          <w:b/>
        </w:rPr>
        <w:t>E. 1.2</w:t>
      </w:r>
    </w:p>
    <w:p>
      <w:r>
        <w:t>Au 1er janvier 2022, des modifications législatives et réglementaires sont entrées en vigueur dans le cadre du « développement continu de l’AI » (loi fédérale sur l’assurance-invalidité [LAI] [Développement continu de l’AI], modification du 19 juin 2020, RO 2021 705, et règlement sur l’assurance-invalidité [RAI], modification du 3 novembre 2021, RO 2021 706). Conformément aux règles de droit transitoire, l’ancien droit reste en l’espèce applicable, au vu de la date de la décision litigieuse rendue avant le 1er janvier 2022 (ATF 144 V 210 consid. 4.3.1 ; 138 V 176 consid. 7.1 ; arrêt 9C_881/2018 du 6 mars 2019 consid. 4.1).</w:t>
      </w:r>
    </w:p>
    <w:p>
      <w:r>
        <w:rPr>
          <w:b/>
        </w:rPr>
        <w:t>E. 2.1</w:t>
      </w:r>
    </w:p>
    <w:p>
      <w:r>
        <w:t>Le présent litige porte sur le refus de l’OAI d’allouer à la recourante des mesures d’ordre professionnel, dans la mesure où la recourante n’a nullement réclamé l’octroi d’une rente mais un « soutien dans le cadre d’une réinsertion professionnelle » sous la forme d’un stage ou d’une formation (cf. réplique du 3 juillet 2020).</w:t>
      </w:r>
    </w:p>
    <w:p>
      <w:r>
        <w:rPr>
          <w:b/>
        </w:rPr>
        <w:t>E. 3.1</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w:t>
      </w:r>
    </w:p>
    <w:p>
      <w:r>
        <w:t>- 10 - L'assuré a droit à une rente s'il est invalide à 40 % au moins (art. 28 al. 1 let. c LAI). Il peut en outre prétendre à une mesure de reclassement s’il est invalide à 20 % environ (ATF 139 V 399 consid. 5.3, 130 V 488 consid. 4.2 et 124 V 108 consid. 2b).</w:t>
      </w:r>
    </w:p>
    <w:p>
      <w:r>
        <w:rPr>
          <w:b/>
        </w:rPr>
        <w:t>E. 3.2</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consid. 4, 115 V 133 consid. 2 et les réf. cit.).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L'élément déterminant pour la valeur probante n'est ni l'origine du moyen de preuve ni sa désignation comme rapport ou comme expertise, mais bel et bien son contenu (ATF 143 V 124 consid. 2.2.2 et 125 V 351 consid. 3a ainsi que les références ; VSI 2001 p. 108 consid. 3a).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consid. 3a et 3b/bb, ATF 122 V 161 consid. 1c).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w:t>
      </w:r>
    </w:p>
    <w:p>
      <w:r>
        <w:t>- 11 -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8C_198/2020 du 28 septembre 2020 consid. 2.1.2).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9C_670/2020 du 28 juillet 2020 consid. 3.2 et 9C_518/2007 du 14 juillet 2008 consid. 3.2).</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arrêt 8C_280/2021 du 17 novembre 2021 consid. 6.2.1, destiné à publication).</w:t>
      </w:r>
    </w:p>
    <w:p>
      <w:r>
        <w:t>- 12 -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consacrée par la jurisprudence entre un mandat thérapeutique et un mandat d'expertise (ATF 124 I 170 consid. 4, arrêt I 514/06 du 25 mai 2007 consid. 2.2.1, in :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(ATF 124 I 170 consid. 4a et arrêt 9C_369/2008 du 5 mars 2009 consid. 2.2).</w:t>
      </w:r>
    </w:p>
    <w:p>
      <w:r>
        <w:rPr>
          <w:b/>
        </w:rPr>
        <w:t>E. 3.4</w:t>
      </w:r>
    </w:p>
    <w:p>
      <w:r>
        <w:t>Selon la jurisprudence (ATF 143 V 418), il y a lieu d’appliquer à toutes les maladies psychiques la procédure d’administration des preuves prévalant en matière de troubles douloureux sans substrat organique (troubles somatoformes douloureux) et de troubles psychosomatiques analogues, à savoir au moyen d’une grille d’indicateurs (ATF 141 V 281). La preuve d’un trouble somatoforme douloureux, et donc désormais de tout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de ces diagnostics (ATF 141 V 281 consid. 2.2, 2.2.1 et 2.2.2).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 v. aussi, arrêt 8C_280/2021 précité consid. 6.2.1 et 6.2.2, destiné à publication).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w:t>
      </w:r>
    </w:p>
    <w:p>
      <w:r>
        <w:t>- 13 -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9C_298/2020 du 28 septembre 2020 consid. 2.2).</w:t>
      </w:r>
    </w:p>
    <w:p>
      <w:r>
        <w:rPr>
          <w:b/>
        </w:rPr>
        <w:t>E. 3.6</w:t>
      </w:r>
    </w:p>
    <w:p>
      <w:r>
        <w:t>De jurisprudence constante,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et 131 V 242 consid. 2.1).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(arrêt 8C_239/2020 du 19 avril 2021 consid. 7.2.1 et les autres arrêts cités).</w:t>
      </w:r>
    </w:p>
    <w:p>
      <w:r>
        <w:rPr>
          <w:b/>
        </w:rPr>
        <w:t>E. 4.1</w:t>
      </w:r>
    </w:p>
    <w:p>
      <w:r>
        <w:t>En l’espèce, dans le cadre de son expertise du 24 octobre 2019, le Dr L _________ a exposé de manière complète l’anamnèse comportant le résumé des pièces -</w:t>
      </w:r>
    </w:p>
    <w:p>
      <w:r>
        <w:t>- 14 - principalement médicales - topiques du dossier, l’anamnèse familiale, personnelle, professionnelle et sociale, affective et relationnelle, médicale et psychiatrique, systématique ainsi que le traitement actuel. Il a rapporté les plaintes subjectives et le déroulement d’une journée de l’assurée puis ses constatations objectives issues de son examen clinique, de tests psychologiques complémentaires (échelle psychopathologique AMDP, échelle de ralentissement EDR et échelle de dépression MADRS) et d’un examen sanguin pour déterminer le taux sérique des médicaments prescrits. Le premier indicateur de la catégorie du degré de gravité fonctionnelle concerne l’atteinte à la santé elle-même. Le Dr L _________ a indiqué que dans l’ensemble des descriptions et positionnements par rapport à sa biographie, l’assurée était tranchée, dramatique (« j’ai un lourd passé ») et dans une vision particulièrement négative. Avec les recherches récentes et le résultat, il convenait de retenir trois atteintes antérieures qui avaient probablement influencé son parcours et ses appréciations. Premièrement, elle avait souffert de longue date d’une hypertension intracrânienne idiopathique. Deuxièmement, elle avait rencontré des problèmes d’obésité importante voire morbide. Enfin, elle avait des déficits d’acquisitions scolaires en lien avec une dyslexie, une dysorthographie et une dyscalculie. Durant l’année 2018, deux des trois problèmes de santé susmentionnés s’étaient nettement améliorés voire résolus. L’assurée avait bénéficié d’un by-pass gastrique. Elle avait pu, d’une part, normaliser son poids et, d’autre part, sortir de l’hypertension intracrânienne idiopathique. Les rapports médicaux étaient très clairs. Le médicament (Diamox) qu’elle prenait auparavant avait été arrêté. Il restait les problèmes neurocognitifs, lesquels intervenaient clairement dans les capacités d’apprentissage et de travail. La recourante utilisait pour cette partie aussi des termes assez dramatiques (« je suis illettrée »), mais il n’était pas certain que le degré de la perturbation était si prononcé. L’expert avait noté que durant son examen elle lui avait montré à quelques reprises des éléments écrits dans des rapports. Dans le même ordre d’idées, des problèmes d’intelligence avaient été soupçonnés, mais les résultats effectués en 2019 montraient clairement qu’elle avait une intelligence très faible mais non pas déficiente (QI 74). Sur le plan psychique, elle se disait en permanence en dépression, terme cependant défini un peu à sa manière, là aussi très largement accentué et associé à des notions comme : « Je n’aime pas me mélanger aux gens…, j’ai ma tête ailleurs… ». Elle avait été hospitalisée à Malévoz où une constellation particulière expliquée pour le</w:t>
      </w:r>
    </w:p>
    <w:p>
      <w:r>
        <w:t>- 15 - déclenchement de ladite hospitalisation n’avait pas pu être trouvée, mais seulement des notions d’idées suicidaires restées assez vagues comme par ailleurs lors de l’expertise (sans scénario). La description clinique (statut psychiatrique) des médecins avait conclu à la présence d’un trouble dépressif récurrent avec épisode actuel moyen sans plus. Au cours dudit séjour, une amélioration progressive de la thymie, la disparition des idées suicidaires et une évolution globale favorable avaient été constatées. L’assurée avait expliqué le jour de l’examen avoir « joué » l’adaptation. Elle se serait montrée avec un « masque » positif car elle ne voulait pas rester à l’hôpital. Si tel était le cas, passablement d’éléments manipulateurs pouvaient être soupçonnés. Après avoir fait leurs observations et constats, les médecins de Malévoz avaient proposé la poursuite de l’hospitalisation sous forme d’hôpital de jour, ce que l’assurée avait refusé, considérant qu’un suivi ambulatoire lui conviendrait mieux. A l’examen, le Dr L _________ avait vu une jeune femme dans une présentation normale, féminine, soignée, sans ralentissement significatif (cf. application échelle EDR), dans un contact facile, sans troubles cognitifs, sans trouble formel de la pensée, au fond, assez normale. Il y avait, comme mentionné, passablement d’accentuation. Sur le plan affectif, l’assurée était clairement euthymique en majeure partie, de temps en temps souriante, une fois proche des larmes en lien avec une thématique touchante. L’énergie était maintenue. Elle avait accès à un certain nombre de plaisirs et l’application de l’échelle de dépression MADRS avait montré une valeur très légèrement significative dans le registre de dépression légère. Il convenait de souligner qu’un item dudit test était particulièrement élevé, à savoir celui en lien avec des questions de sommeil. L’assurée disait (avec affirmation et répétition) qu’elle ne dormait pas plus qu’une heure et demie par nuit et ceci depuis très longtemps. Il n’y avait aucune objectivation, aucun monitoring du sommeil et aucun rapport spécifique. Tout reposait sur les déclarations subjectives de l’assurée. De plus, un certain nombre d’informations était douteuses, de sorte que la situation présentait finalement une dichotomie assez importante entre les allégations maladives poussées et un tableau clinique objectivement rassurant. Le Dr L _________ avait ainsi posé les diagnostics de troubles dépressifs probablement récurrents, actuellement d’intensité légère (F33.0), de troubles spécifiques de la lecture, dyslexie (F81.0), de troubles spécifiques de l’orthographe, dysorthographie (F80.1) et de troubles spécifiques de l’arithmétique, dyscalculie (F81.2). En lien avec le premier diagnostic, l’expert a relevé que la documentation à disposition ne permettait pas de saisir avec précision s’il s’agissait d’un seul épisode dépressif ou de récurrence, ce qui ne changeait rien à l’appréciation. Quant aux difficultés spécifiques</w:t>
      </w:r>
    </w:p>
    <w:p>
      <w:r>
        <w:t>- 16 - concernant les acquisitions scolaires mentionnées, elles avaient un impact dans le sens que toute formation paraissait compromise. Ceci semblait également exclure toute activité qui nécessitait de manière régulière la lecture, l’écriture ou le calcul. Il avait toutefois fait part de ses doutes sur l’intensité des troubles résumés dans les diagnostics de dyslexie, de dysorthographie et de dyscalculie et suggéré un examen spécifique, si cela s’imposait, le cas échéant. Il a ajouté qu’il existait des moyens de remédier au moins partiellement auxdits problèmes, avec par exemple l’association « Lire et écrire » et souligné que pour toute activité simple, pratique et concrète, l’assurée avait toutefois une pleine capacité de travail. Cette appréciation rejoignait celle du médecin généraliste traitant et les rapports du médecin du CCPP. En toute activité de ce type, la capacité de travail était entière. En outre, l’assurée elle-même avait demandé de l’aide pour trouver un travail adapté. Il existe donc une adéquation entre ses difficultés subjectives et objectives. Au sujet des traitements et des mesures de réadaptation, le Dr L _________ a mentionné qu’il y avait eu des fluctuations psycho-émotionnelles, ce qui avait été appelé une dépression récurrente, mais que les mesures mises en place avaient montré une nette amélioration. L’absence d’une observance thérapeutique avait été constatée et en parallèle, l’état clinique était satisfaisant, permettant une insertion professionnelle. Le deuxième indicateur de la catégorie du degré de gravité fonctionnelle porte sur la personnalité de l’assuré. Le Dr L _________ a constaté au niveau de la personnalité, de son fonctionnement et de l’interaction, un côté très adolescent de l’assurée, un discours parfois assez plaqué, un côté oppositionnel, des disqualifications faciles et un côté défensif prononcé. Il a précisé qu’elle n’avait pas de troubles de personnalité et disposait de ressources pour les activités pratiques et simples. Les limitations fonctionnelles étaient liées à la dyslexie, la dysorthographie et la dyscalculie. Il existait des aspects extra-médicaux, notamment sous forme de fixation sur symptômes, position de victime et déconditionnement. Les ressources disponibles ou mobilisables chez l’assurée étaient les suivantes : aptitude à la communication (communication verbale normale, dysfonctionnelle en écriture), capacité à respecter un cadre (normale), capacité d’adaptation (normale), capacité d’organisation (existait), capacité d’endurance (existait), capacité de prise de décision (existait en principe), capacité relationnelle (couple, famille, groupe) [existait], existence d’un réseau social et autonomie dans les activités quotidiennes. Le troisième indicateur de la catégorie du degré de gravité fonctionnelle a trait au contexte social. A cet égard, le Dr L _________ a relevé que l’assurée vivait seule,</w:t>
      </w:r>
    </w:p>
    <w:p>
      <w:r>
        <w:t>- 17 - qu’elle avait une relation très positive et intense avec sa mère, qu’elle avait une relation occasionnelle, plutôt positive et cordiale, avec son père, qu’elle n’avait plus aucun contact avec son frère et que, dans la famille élargie, elle avait des contacts réguliers avec la famille en Egypte et en Tunisie. Le degré de gravité fonctionnelle de l’atteinte à la santé doit ensuite être vérifié au moyen d’indicateurs de cohérence liés au comportement de la personne assurée. Le premier de ces indicateurs vise à mettre en exergue une limitation uniforme du niveau des activités dans tous les domaines comparables de la vie. Le Dr L _________ a rappelé qu’il avait constaté passablement d’incohérences et d’exagérations, comme relevé notamment lors de la passation de l’échelle psychopathologique AMDP. L’assurée présentait en outre une tendance très prononcée à se considérer comme une victime. Le second indicateur de la catégorie de la cohérence a pour but d’évaluer le poids effectif des souffrances, en examinant la mise à contribution par la personne assurée d’options thérapeutiques ainsi que les efforts fournis par celle-ci dans le cadre de sa réadaptation. Cet indicateur intervient en complément à ceux du succès du traitement et de la réadaptation ou d’une résistance à cet égard. A ce sujet, le Dr L _________ a indiqué que l’assurée disait prendre régulièrement les médicaments prescrits (antidépresseur et neuroleptique). Le monitoring avait montré des taux sériques des substances et métabolites en-dessous du seuil de détection. L’assurée était « totalement non observante ». En dehors de la tendance à la contrevérité, ceci posait également la question de savoir si auparavant les traitements prescrits avaient déjà été suivis ou non. Les résultats invitaient les thérapeutes à contrôler dorénavant systématiquement toute prescription.</w:t>
      </w:r>
    </w:p>
    <w:p>
      <w:r>
        <w:rPr>
          <w:b/>
        </w:rPr>
        <w:t>E. 4.2</w:t>
      </w:r>
    </w:p>
    <w:p>
      <w:r>
        <w:t>Au vu de ce qui précède, le Dr L _________ a posé son diagnostic et l’a discuté de façon claire, cohérente et motivée. Il a procédé également à une analyse de la cohérence et de la plausibilité, de même qu’à une appréciation des capacités, des ressources et des difficultés. Il a ensuite retenu une pleine capacité de travail dès l’âge de 18 ans dans une activité simple, concrète et sans exigences d’écriture, de lecture et de calcul et a enfin répondu aux questions posées. Ladite expertise a été confirmée pour l’essentiel par la Dresse I _________ du SMR dans son rapport du 30 octobre 2019. Concernant les troubles de l’apprentissage (dyslexie, dysorthographie et dyscalculie), elle a précisé qu’ils n’avaient pas valeur de maladie incapacitante selon l’AI, la Dresse I _________ rappelant qu’ils n’avaient pas</w:t>
      </w:r>
    </w:p>
    <w:p>
      <w:r>
        <w:t>- 18 - empêché l’assurée de suivre une formation en coiffure et maquillage et qu’au surplus l’expert avait exprimé des doutes quant à leur intensité.</w:t>
      </w:r>
    </w:p>
    <w:p>
      <w:r>
        <w:rPr>
          <w:b/>
        </w:rPr>
        <w:t>E. 4.3</w:t>
      </w:r>
    </w:p>
    <w:p>
      <w:r>
        <w:t>La Cour de céans ne voit pas de raison de s'écarter des conclusions du SMR lesquelles se basent principalement sur l'expertise du Dr L _________ qui a été établie conformément aux réquisits jurisprudentiels. L'expert s'est en effet basé sur le dossier médical complet de la recourante et l'a examinée personnellement avant d'établir son rapport. L'assurée a pu s'exprimer à chaque moment. Les conclusions sont par ailleurs claires et bien motivées. Le rapport a été établi en pleine connaissance de l'anamnèse, tient compte des plaintes exprimées par l'assurée et est le résultat d'examens complets. En outre, on relèvera que si l’expert a eu quelque doute au sujet de l’intensité des diagnostics de dyslexie, dyscalculie et dysorthographie pouvant justifier le cas échéant un examen spécifique, il a néanmoins conclu au terme de son rapport d’expertise que la recourante présentait une pleine capacité de travail dans une activité adaptée et ajouté qu’un cours « lire et écrire » pourrait faciliter une insertion professionnelle. En outre, aucun des médecins traitants n’a décrit précisément les limitations que pouvaient entraîner la dyslexie, la dyscalculie et la dysorthographie sur la capacité de travail de l’assurée ni demandé la mise en œuvre d’un quelconque examen concernant l’intensité de ces diagnostics et leur caractère invalidant ni suggéré un quelconque suivi en lien avec ces atteintes. On soulignera que l’expert a constaté que l’assurée était en mesure de lire certains passages, qu’elle pouvait s’aider également d’une calculette, approcher l’Association Lire et Ecrire, etc. Au vu de l’ensemble de ces éléments, la Cour rejoint l’avis de l’expert et retient que les diagnostics de dyslexie, de dysorthographie et de dyscalculie, ne sont pas invalidants et ne nécessitent pas de plus amples investigations puisqu’une pleine capacité de travail dans une activité adaptée a été admise et reconnue. Finalement, on rappellera qu’il est de jurisprudence constante qu’un marché du travail équilibré - notion, théorique et abstraite, servant de critère de distinction entre les cas relevant de l'assurance-chômage ou de l'assurance-invalidité ; elle présuppose un équilibre entre l'offre et la demande de main d'oeuvre d'une part et un marché du travail structuré (permettant d'offrir un éventail d'emplois diversifiés, tant au regard des sollicitations intellectuelles que physiques) d'autre part (ATF 110 V 273 consid. 4b p. 276) - offre un large éventail d’activités simples et répétitives et qu’un nombre significatif d’entre elles ne nécessite aucune formation particulière. Partant, en l’absence de toute incapacité de travail démontrée, l’intimé était fondé à refuser toute prestation AI à la recourante, notamment des mesures d’ordre professionnel.</w:t>
      </w:r>
    </w:p>
    <w:p>
      <w:r>
        <w:t>- 19 - 5.1 Mal fondé, le recours doit être rejeté et la décision entreprise du 11 décembre 2019 confirmée. 5.2 Les frais de justice, arrêtés à 500 fr. en fonction de la difficulté de la présente cause, sont mis à la charge de la recourante qui succombe (art. 69 al. 1bis LAI et 3 al. 3 LAJ). Celle-ci ayant toutefois été mise au bénéfice de l’assistance judiciaire pour la procédure de recours, par décision présidentielle du 6 mai 2020 (S3 20 12), et aucun indice ne permettant de retenir que sa situation économique aurait notablement changé depuis lors, la recourante doit être maintenue dans son droit à l'assistance judiciaire gratuite et être dispensée de verser les frais de la cause mis à sa charge, lesquels sont provisoirement supportés par la caisse de l'Etat du Valais. La recourante est toutefois rendu attentive au fait qu'elle devra rembourser cette caisse si elle devient ultérieurement en mesure de le faire (art. 10 LAJ ; RVJ 2000 p. 152).</w:t>
      </w:r>
    </w:p>
    <w:p>
      <w:r>
        <w:t>Prononce</w:t>
      </w:r>
    </w:p>
    <w:p>
      <w:r>
        <w:t>1. Le recours est rejeté. 2. Les frais, par 500 francs, sont mis à la charge de X _________, mais sont provisoirement supportés par l’État du Valais au titre de l'assistance judiciaire. 3. Il n’est pas alloué de dépens.</w:t>
      </w:r>
    </w:p>
    <w:p>
      <w:r>
        <w:t>Sion, le 25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